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79" w:rsidRDefault="007A1179" w:rsidP="00165AA4">
      <w:pPr>
        <w:spacing w:line="240" w:lineRule="auto"/>
        <w:ind w:left="0" w:firstLine="0"/>
        <w:rPr>
          <w:rFonts w:ascii="Times New Roman" w:hAnsi="Times New Roman" w:cs="Times New Roman"/>
        </w:rPr>
      </w:pPr>
      <w:r w:rsidRPr="007E6627">
        <w:rPr>
          <w:rFonts w:ascii="Times New Roman" w:hAnsi="Times New Roman" w:cs="Times New Roman"/>
        </w:rPr>
        <w:t>Исх. № _</w:t>
      </w:r>
      <w:r>
        <w:rPr>
          <w:rFonts w:ascii="Times New Roman" w:hAnsi="Times New Roman" w:cs="Times New Roman"/>
        </w:rPr>
        <w:t>______</w:t>
      </w:r>
      <w:r w:rsidRPr="007E6627">
        <w:rPr>
          <w:rFonts w:ascii="Times New Roman" w:hAnsi="Times New Roman" w:cs="Times New Roman"/>
        </w:rPr>
        <w:t xml:space="preserve">____ от </w:t>
      </w:r>
      <w:r>
        <w:rPr>
          <w:rFonts w:ascii="Times New Roman" w:hAnsi="Times New Roman" w:cs="Times New Roman"/>
        </w:rPr>
        <w:t xml:space="preserve">____ ноября </w:t>
      </w:r>
      <w:r w:rsidRPr="007E6627">
        <w:rPr>
          <w:rFonts w:ascii="Times New Roman" w:hAnsi="Times New Roman" w:cs="Times New Roman"/>
        </w:rPr>
        <w:t>2018 года</w:t>
      </w:r>
    </w:p>
    <w:p w:rsidR="007A1179" w:rsidRDefault="007A1179" w:rsidP="00165AA4">
      <w:pPr>
        <w:spacing w:line="240" w:lineRule="auto"/>
        <w:ind w:left="0" w:firstLine="0"/>
        <w:rPr>
          <w:rFonts w:ascii="Times New Roman" w:hAnsi="Times New Roman" w:cs="Times New Roman"/>
        </w:rPr>
      </w:pPr>
    </w:p>
    <w:p w:rsidR="007A1179" w:rsidRDefault="007A1179" w:rsidP="009F7D46">
      <w:pPr>
        <w:spacing w:line="240" w:lineRule="auto"/>
        <w:ind w:left="0" w:firstLine="0"/>
        <w:jc w:val="right"/>
        <w:rPr>
          <w:rFonts w:ascii="Times New Roman" w:hAnsi="Times New Roman" w:cs="Times New Roman"/>
        </w:rPr>
      </w:pPr>
      <w:r>
        <w:rPr>
          <w:rFonts w:ascii="Times New Roman" w:hAnsi="Times New Roman" w:cs="Times New Roman"/>
        </w:rPr>
        <w:t xml:space="preserve">Главам Администраций </w:t>
      </w:r>
    </w:p>
    <w:p w:rsidR="007A1179" w:rsidRDefault="007A1179" w:rsidP="009F7D46">
      <w:pPr>
        <w:spacing w:line="240" w:lineRule="auto"/>
        <w:ind w:left="0" w:firstLine="0"/>
        <w:jc w:val="right"/>
        <w:rPr>
          <w:rFonts w:ascii="Times New Roman" w:hAnsi="Times New Roman" w:cs="Times New Roman"/>
        </w:rPr>
      </w:pPr>
      <w:r>
        <w:rPr>
          <w:rFonts w:ascii="Times New Roman" w:hAnsi="Times New Roman" w:cs="Times New Roman"/>
        </w:rPr>
        <w:t xml:space="preserve">(по списку) </w:t>
      </w:r>
    </w:p>
    <w:p w:rsidR="007A1179" w:rsidRPr="007E6627" w:rsidRDefault="007A1179" w:rsidP="009F7D46">
      <w:pPr>
        <w:spacing w:line="240" w:lineRule="auto"/>
        <w:ind w:left="0" w:firstLine="0"/>
        <w:jc w:val="right"/>
        <w:rPr>
          <w:rFonts w:ascii="Times New Roman" w:hAnsi="Times New Roman" w:cs="Times New Roman"/>
        </w:rPr>
      </w:pPr>
    </w:p>
    <w:p w:rsidR="007A1179" w:rsidRDefault="007A1179" w:rsidP="00B96E79">
      <w:pPr>
        <w:spacing w:line="240" w:lineRule="auto"/>
        <w:ind w:left="0" w:firstLine="709"/>
        <w:jc w:val="both"/>
        <w:rPr>
          <w:rFonts w:ascii="Times New Roman" w:hAnsi="Times New Roman" w:cs="Times New Roman"/>
          <w:color w:val="auto"/>
        </w:rPr>
      </w:pPr>
    </w:p>
    <w:p w:rsidR="007A1179" w:rsidRDefault="007A1179" w:rsidP="00B96E79">
      <w:pPr>
        <w:spacing w:line="240" w:lineRule="auto"/>
        <w:ind w:left="0" w:firstLine="709"/>
        <w:jc w:val="both"/>
        <w:rPr>
          <w:rFonts w:ascii="Times New Roman" w:hAnsi="Times New Roman" w:cs="Times New Roman"/>
          <w:color w:val="auto"/>
        </w:rPr>
      </w:pP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Разъяснительное</w:t>
      </w: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письмо</w:t>
      </w:r>
    </w:p>
    <w:p w:rsidR="007A1179" w:rsidRDefault="007A1179" w:rsidP="00B96E79">
      <w:pPr>
        <w:spacing w:line="240" w:lineRule="auto"/>
        <w:ind w:left="0" w:firstLine="709"/>
        <w:jc w:val="both"/>
        <w:rPr>
          <w:rFonts w:ascii="Times New Roman" w:hAnsi="Times New Roman" w:cs="Times New Roman"/>
          <w:color w:val="auto"/>
        </w:rPr>
      </w:pPr>
    </w:p>
    <w:p w:rsidR="007A1179" w:rsidRDefault="007A1179" w:rsidP="00B96E79">
      <w:pPr>
        <w:autoSpaceDE w:val="0"/>
        <w:autoSpaceDN w:val="0"/>
        <w:adjustRightInd w:val="0"/>
        <w:spacing w:line="240" w:lineRule="auto"/>
        <w:ind w:left="0" w:firstLine="709"/>
        <w:jc w:val="both"/>
        <w:rPr>
          <w:rFonts w:ascii="Times New Roman" w:hAnsi="Times New Roman" w:cs="Times New Roman"/>
          <w:color w:val="auto"/>
          <w:lang w:eastAsia="ru-RU"/>
        </w:rPr>
      </w:pPr>
      <w:r>
        <w:rPr>
          <w:rFonts w:ascii="Times New Roman" w:hAnsi="Times New Roman" w:cs="Times New Roman"/>
          <w:color w:val="auto"/>
          <w:lang w:eastAsia="ru-RU"/>
        </w:rPr>
        <w:t>В адрес ООО «АВТОСПЕЦТРАНС» (далее – ООО «АВТОСПЕЦТРАНС», Региональный оператор) поступают обращения органов местного самоуправления Республики Карелия, связанные с оплатой потребителями коммунальной услуги по обращению с твердыми коммунальными отходами, в том числе, отдельными администрациями органов местного самоуправления предоставляются потребителям справки о неиспользовании указанными потребителями услуги по обращению с ТКО.</w:t>
      </w:r>
    </w:p>
    <w:p w:rsidR="007A1179" w:rsidRDefault="007A1179" w:rsidP="00B96E79">
      <w:pPr>
        <w:autoSpaceDE w:val="0"/>
        <w:autoSpaceDN w:val="0"/>
        <w:adjustRightInd w:val="0"/>
        <w:spacing w:line="240" w:lineRule="auto"/>
        <w:ind w:left="0" w:firstLine="709"/>
        <w:jc w:val="both"/>
        <w:rPr>
          <w:rFonts w:ascii="Times New Roman" w:hAnsi="Times New Roman" w:cs="Times New Roman"/>
          <w:color w:val="auto"/>
          <w:lang w:eastAsia="ru-RU"/>
        </w:rPr>
      </w:pPr>
      <w:r>
        <w:rPr>
          <w:rFonts w:ascii="Times New Roman" w:hAnsi="Times New Roman" w:cs="Times New Roman"/>
          <w:color w:val="auto"/>
          <w:lang w:eastAsia="ru-RU"/>
        </w:rPr>
        <w:t>В связи с указанными обращениями разъясняем следующее:</w:t>
      </w:r>
    </w:p>
    <w:p w:rsidR="007A1179" w:rsidRDefault="007A1179" w:rsidP="00B96E79">
      <w:pPr>
        <w:autoSpaceDE w:val="0"/>
        <w:autoSpaceDN w:val="0"/>
        <w:adjustRightInd w:val="0"/>
        <w:spacing w:line="240" w:lineRule="auto"/>
        <w:ind w:left="0" w:firstLine="709"/>
        <w:jc w:val="both"/>
        <w:rPr>
          <w:rFonts w:ascii="Times New Roman" w:hAnsi="Times New Roman" w:cs="Times New Roman"/>
          <w:color w:val="auto"/>
          <w:lang w:eastAsia="ru-RU"/>
        </w:rPr>
      </w:pPr>
      <w:r>
        <w:rPr>
          <w:rFonts w:ascii="Times New Roman" w:hAnsi="Times New Roman" w:cs="Times New Roman"/>
          <w:color w:val="auto"/>
          <w:lang w:eastAsia="ru-RU"/>
        </w:rPr>
        <w:t>Региональным оператором по обращению с твердыми коммунальными отходами (далее – ТКО) на территории Республики Карелия является ООО «АВТОСПЕЦТРАНС», осуществляющий указанную деятельность с 01 мая 2018 года.</w:t>
      </w:r>
    </w:p>
    <w:p w:rsidR="007A1179" w:rsidRDefault="007A1179" w:rsidP="00B96E79">
      <w:pPr>
        <w:autoSpaceDE w:val="0"/>
        <w:autoSpaceDN w:val="0"/>
        <w:adjustRightInd w:val="0"/>
        <w:spacing w:line="240" w:lineRule="auto"/>
        <w:ind w:left="0" w:firstLine="709"/>
        <w:jc w:val="both"/>
        <w:rPr>
          <w:rFonts w:ascii="Times New Roman" w:hAnsi="Times New Roman" w:cs="Times New Roman"/>
          <w:color w:val="auto"/>
        </w:rPr>
      </w:pPr>
      <w:r>
        <w:rPr>
          <w:rFonts w:ascii="Times New Roman" w:hAnsi="Times New Roman" w:cs="Times New Roman"/>
          <w:color w:val="auto"/>
        </w:rPr>
        <w:t xml:space="preserve">Согласно </w:t>
      </w:r>
      <w:r w:rsidRPr="00FD60BA">
        <w:rPr>
          <w:rFonts w:ascii="Times New Roman" w:hAnsi="Times New Roman" w:cs="Times New Roman"/>
          <w:color w:val="auto"/>
        </w:rPr>
        <w:t>ч. 4 ст. 154 Ж</w:t>
      </w:r>
      <w:r>
        <w:rPr>
          <w:rFonts w:ascii="Times New Roman" w:hAnsi="Times New Roman" w:cs="Times New Roman"/>
          <w:color w:val="auto"/>
        </w:rPr>
        <w:t>илищного кодекса</w:t>
      </w:r>
      <w:r w:rsidRPr="00FD60BA">
        <w:rPr>
          <w:rFonts w:ascii="Times New Roman" w:hAnsi="Times New Roman" w:cs="Times New Roman"/>
          <w:color w:val="auto"/>
        </w:rPr>
        <w:t xml:space="preserve"> РФ</w:t>
      </w:r>
      <w:r>
        <w:rPr>
          <w:rFonts w:ascii="Times New Roman" w:hAnsi="Times New Roman" w:cs="Times New Roman"/>
          <w:color w:val="auto"/>
        </w:rPr>
        <w:t xml:space="preserve"> (далее – ЖК РФ) </w:t>
      </w:r>
      <w:r w:rsidRPr="00FD60BA">
        <w:rPr>
          <w:rFonts w:ascii="Times New Roman" w:hAnsi="Times New Roman" w:cs="Times New Roman"/>
          <w:color w:val="auto"/>
        </w:rPr>
        <w:t>обращение с твердыми коммунальными отходами</w:t>
      </w:r>
      <w:r>
        <w:rPr>
          <w:rFonts w:ascii="Times New Roman" w:hAnsi="Times New Roman" w:cs="Times New Roman"/>
          <w:color w:val="auto"/>
        </w:rPr>
        <w:t xml:space="preserve"> является коммунальной услугой, оплата которой осуществляется наравне с платой </w:t>
      </w:r>
      <w:r w:rsidRPr="00FD60BA">
        <w:rPr>
          <w:rFonts w:ascii="Times New Roman" w:hAnsi="Times New Roman" w:cs="Times New Roman"/>
          <w:color w:val="auto"/>
        </w:rPr>
        <w:t>за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w:t>
      </w:r>
      <w:r>
        <w:rPr>
          <w:rFonts w:ascii="Times New Roman" w:hAnsi="Times New Roman" w:cs="Times New Roman"/>
          <w:color w:val="auto"/>
        </w:rPr>
        <w:t>.</w:t>
      </w:r>
    </w:p>
    <w:p w:rsidR="007A1179" w:rsidRDefault="007A1179" w:rsidP="00B96E79">
      <w:pPr>
        <w:autoSpaceDE w:val="0"/>
        <w:autoSpaceDN w:val="0"/>
        <w:adjustRightInd w:val="0"/>
        <w:spacing w:line="240" w:lineRule="auto"/>
        <w:ind w:left="0" w:firstLine="709"/>
        <w:jc w:val="both"/>
        <w:rPr>
          <w:rFonts w:ascii="Times New Roman" w:hAnsi="Times New Roman" w:cs="Times New Roman"/>
          <w:color w:val="auto"/>
        </w:rPr>
      </w:pPr>
      <w:r>
        <w:rPr>
          <w:rFonts w:ascii="Times New Roman" w:hAnsi="Times New Roman" w:cs="Times New Roman"/>
          <w:color w:val="auto"/>
        </w:rPr>
        <w:t>На основании п. 3 ч. 1, п. 3 ч. 2 ст.154 ЖК РФ наниматели и собственники помещений в многоквартирном доме обязаны вносить плату за коммунальные услуги.</w:t>
      </w:r>
    </w:p>
    <w:p w:rsidR="007A1179" w:rsidRDefault="007A1179" w:rsidP="00B96E79">
      <w:pPr>
        <w:pStyle w:val="NoSpacing"/>
        <w:spacing w:line="240" w:lineRule="auto"/>
        <w:ind w:left="0" w:firstLine="709"/>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Ч. 1 ст. 153 ЖК РФ установлено, что граждане и организации обязаны своевременно и полностью вносить плату за жилое помещение и коммунальные услуги.</w:t>
      </w:r>
    </w:p>
    <w:p w:rsidR="007A1179" w:rsidRDefault="007A1179" w:rsidP="00B96E79">
      <w:pPr>
        <w:pStyle w:val="NoSpacing"/>
        <w:spacing w:line="240" w:lineRule="auto"/>
        <w:ind w:left="0" w:firstLine="709"/>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Таким образом, собственники и наниматели помещений в многоквартирных домах обязаны оплачивать коммунальную услугу по обращению с ТКО, оказываемую региональным оператором по обращению с ТКО.</w:t>
      </w:r>
    </w:p>
    <w:p w:rsidR="007A1179" w:rsidRDefault="007A1179" w:rsidP="00B96E79">
      <w:pPr>
        <w:spacing w:line="240" w:lineRule="auto"/>
        <w:ind w:left="0" w:firstLine="709"/>
        <w:jc w:val="both"/>
        <w:rPr>
          <w:rFonts w:ascii="Times New Roman" w:hAnsi="Times New Roman" w:cs="Times New Roman"/>
          <w:color w:val="auto"/>
          <w:lang w:eastAsia="ru-RU"/>
        </w:rPr>
      </w:pPr>
      <w:r>
        <w:rPr>
          <w:rFonts w:ascii="Times New Roman" w:hAnsi="Times New Roman" w:cs="Times New Roman"/>
          <w:color w:val="auto"/>
          <w:lang w:eastAsia="ru-RU"/>
        </w:rPr>
        <w:t>В соответствии с п. 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(далее – Правила № 354) потребителем, в том числе, является собственник помещения в многоквартирном доме, жилого дома, домовладения.</w:t>
      </w:r>
    </w:p>
    <w:p w:rsidR="007A1179" w:rsidRDefault="007A1179" w:rsidP="00B96E79">
      <w:pPr>
        <w:pStyle w:val="NoSpacing"/>
        <w:spacing w:line="240" w:lineRule="auto"/>
        <w:ind w:left="0" w:firstLine="709"/>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Обязанность по внесению платы за жилое помещение и коммунальные услуги возникает у собственника жилого помещения с момента возникновения права собственности на жилое помещение (ч. 3 ст. 153 ЖК РФ).</w:t>
      </w:r>
    </w:p>
    <w:p w:rsidR="007A1179" w:rsidRDefault="007A1179" w:rsidP="00B96E79">
      <w:pPr>
        <w:spacing w:line="240" w:lineRule="auto"/>
        <w:ind w:left="0" w:firstLine="709"/>
        <w:jc w:val="both"/>
        <w:rPr>
          <w:rFonts w:ascii="Times New Roman" w:hAnsi="Times New Roman" w:cs="Times New Roman"/>
          <w:color w:val="auto"/>
          <w:lang w:eastAsia="ru-RU"/>
        </w:rPr>
      </w:pPr>
      <w:r>
        <w:rPr>
          <w:rFonts w:ascii="Times New Roman" w:hAnsi="Times New Roman" w:cs="Times New Roman"/>
          <w:color w:val="auto"/>
          <w:lang w:eastAsia="ru-RU"/>
        </w:rPr>
        <w:t>Согласно п.п. «а» п. 3 Правил</w:t>
      </w:r>
      <w:r>
        <w:rPr>
          <w:rFonts w:ascii="Times New Roman" w:hAnsi="Times New Roman" w:cs="Times New Roman"/>
        </w:rPr>
        <w:t xml:space="preserve"> № 354</w:t>
      </w:r>
      <w:r>
        <w:rPr>
          <w:rFonts w:ascii="Times New Roman" w:hAnsi="Times New Roman" w:cs="Times New Roman"/>
          <w:color w:val="auto"/>
          <w:lang w:eastAsia="ru-RU"/>
        </w:rPr>
        <w:t>, коммунальные услуги предоставляются потребителям начиная с установленного жилищным законодательством Российской Федерации момента, в том числе,   собственнику жилого помещения и проживающим с ним лицам - с момента возникновения права собственности на жилое помещение; нанимателю жилого помещения по такому договору и проживающим с ним лицам - со дня заключения договора найма.</w:t>
      </w:r>
    </w:p>
    <w:p w:rsidR="007A1179" w:rsidRDefault="007A1179" w:rsidP="00B96E79">
      <w:pPr>
        <w:spacing w:line="240" w:lineRule="auto"/>
        <w:ind w:left="0" w:firstLine="709"/>
        <w:jc w:val="both"/>
        <w:rPr>
          <w:rFonts w:ascii="Times New Roman" w:hAnsi="Times New Roman" w:cs="Times New Roman"/>
          <w:color w:val="auto"/>
        </w:rPr>
      </w:pPr>
      <w:bookmarkStart w:id="0" w:name="_Hlk521666915"/>
      <w:r>
        <w:rPr>
          <w:rFonts w:ascii="Times New Roman" w:hAnsi="Times New Roman" w:cs="Times New Roman"/>
          <w:color w:val="auto"/>
        </w:rPr>
        <w:t>Согласно ч. 11 ст. 155 ЖК РФ,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w:t>
      </w:r>
    </w:p>
    <w:p w:rsidR="007A1179" w:rsidRDefault="007A1179" w:rsidP="008D0FF1">
      <w:pPr>
        <w:spacing w:line="240" w:lineRule="auto"/>
        <w:ind w:left="0" w:firstLine="540"/>
        <w:jc w:val="both"/>
        <w:rPr>
          <w:rFonts w:ascii="Verdana" w:hAnsi="Verdana" w:cs="Verdana"/>
          <w:color w:val="auto"/>
          <w:sz w:val="21"/>
          <w:szCs w:val="21"/>
          <w:lang w:eastAsia="ru-RU"/>
        </w:rPr>
      </w:pPr>
      <w:r>
        <w:rPr>
          <w:rFonts w:ascii="Times New Roman" w:hAnsi="Times New Roman" w:cs="Times New Roman"/>
          <w:color w:val="auto"/>
          <w:lang w:eastAsia="ru-RU"/>
        </w:rPr>
        <w:t>Размер платы за коммунальную услугу по обращению с ТКО рассчитывается в соответствии с Правилами № 354, исходя из числа постоянно проживающих и временно проживающих потребителей в жилом помещении (п. 148(34) Правил № 354).</w:t>
      </w:r>
    </w:p>
    <w:p w:rsidR="007A1179" w:rsidRDefault="007A1179" w:rsidP="008D0FF1">
      <w:pPr>
        <w:autoSpaceDE w:val="0"/>
        <w:autoSpaceDN w:val="0"/>
        <w:adjustRightInd w:val="0"/>
        <w:spacing w:line="240" w:lineRule="auto"/>
        <w:ind w:left="0" w:firstLine="708"/>
        <w:jc w:val="both"/>
        <w:rPr>
          <w:rFonts w:ascii="Times New Roman" w:hAnsi="Times New Roman" w:cs="Times New Roman"/>
          <w:color w:val="auto"/>
          <w:lang w:eastAsia="ru-RU"/>
        </w:rPr>
      </w:pPr>
      <w:r>
        <w:rPr>
          <w:rFonts w:ascii="Times New Roman" w:hAnsi="Times New Roman" w:cs="Times New Roman"/>
          <w:color w:val="auto"/>
          <w:lang w:eastAsia="ru-RU"/>
        </w:rPr>
        <w:t xml:space="preserve">В соответствии с п. 148 (36) Правил № 354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 </w:t>
      </w:r>
    </w:p>
    <w:p w:rsidR="007A1179" w:rsidRDefault="007A1179" w:rsidP="008D0FF1">
      <w:pPr>
        <w:autoSpaceDE w:val="0"/>
        <w:autoSpaceDN w:val="0"/>
        <w:adjustRightInd w:val="0"/>
        <w:spacing w:line="240" w:lineRule="auto"/>
        <w:ind w:left="0" w:firstLine="0"/>
        <w:jc w:val="both"/>
        <w:rPr>
          <w:rFonts w:ascii="PTSans-Narrow" w:hAnsi="PTSans-Narrow" w:cs="PTSans-Narrow"/>
          <w:color w:val="auto"/>
        </w:rPr>
      </w:pPr>
      <w:r>
        <w:rPr>
          <w:rFonts w:ascii="PTSans-Narrow" w:hAnsi="PTSans-Narrow" w:cs="PTSans-Narrow"/>
          <w:color w:val="auto"/>
        </w:rPr>
        <w:t xml:space="preserve">          Таким образом, жилищное законодательство устанавливает два основания для начисления оплаты за услуги по обращению с ТКО, в связи с чем потребитель, являющийся  собственником жилого дома (части жилого дома), собственником жилого помещения в многоквартирном доме и одновременно проживающий в ином жилом помещении (жилом доме), обязан оплачивать коммунальную услугу </w:t>
      </w:r>
      <w:r>
        <w:rPr>
          <w:rFonts w:ascii="Times New Roman" w:hAnsi="Times New Roman" w:cs="Times New Roman"/>
          <w:color w:val="auto"/>
        </w:rPr>
        <w:t>по обращению с ТКО в отношении жилого дома (части жилого дома), собственником которого он является, а также в отношении иного помещения (жилого дома, части жилого дома), где он проживает (зарегистрирован).</w:t>
      </w: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П. 148(44) Правил № 354 установлено, что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указанных Правил.</w:t>
      </w: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Данный перерасчет осуществляется после получения от потребителя письменного заявления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В заявлении о перерасчете обязательно должна быть указана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К заявлению о перерасчете должны прилагаться документы, подтверждающие продолжительность периода временного отсутствия потребителя.</w:t>
      </w: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При подаче заявления о перерасчете до начала периода временного отсутствия потребитель вправе указать в заявлении,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предоставляются следующие:</w:t>
      </w: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 справка о нахождении на лечении в стационарном лечебном учреждении или на санаторно-курортном лечении;</w:t>
      </w: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 счета за проживание в гостинице, общежитии или другом месте временного пребывания или их заверенные копии;</w:t>
      </w: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w:t>
      </w:r>
      <w:bookmarkStart w:id="1" w:name="_GoBack"/>
      <w:bookmarkEnd w:id="1"/>
      <w:r>
        <w:rPr>
          <w:rFonts w:ascii="Times New Roman" w:hAnsi="Times New Roman" w:cs="Times New Roman"/>
          <w:color w:val="auto"/>
        </w:rPr>
        <w:t xml:space="preserve"> иные документы, которые, по мнению потребителя, подтверждают факт и продолжительность временного отсутствия потребителя в жилом помещении. К таким документам могут относится:</w:t>
      </w: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 копии платежных документов за электроэнергию, справку от энергоснабжающих организаций об отсутствии движения по счетчику.</w:t>
      </w: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 если гражданин признан без вести отсутствующим - решение суда.</w:t>
      </w: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 в случае временного содержания в местах предварительного заключения и лишения свободы должна быть предоставлена справка с мест предварительного заключения или лишения свободы заверенная Администрацией учреждения.</w:t>
      </w: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 при прохождении воинской службы или военных сборов — обязательно предоставляется справка из воинской части по месту прохождения срочной воинской службы;</w:t>
      </w:r>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Указанные выше документы и заявление необходимо направлять в АО «ЕРЦ РК». Это можно сделать любым удобным для потребителей способом: направив сканы документов на электронную почту main@eirz-karelia.ru или передать в абонентский отдел, расположенный по адресу: г. Петрозаводск, ул. Зайцева, д. 67А. Связаться с абонентским отделом можно по телефону 59-46-05 и +7-931-701-88-48 и +7-911-05-05-021.</w:t>
      </w:r>
      <w:bookmarkEnd w:id="0"/>
    </w:p>
    <w:p w:rsidR="007A1179" w:rsidRDefault="007A1179" w:rsidP="00B96E79">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Учитывая вышеизложенное, выдача органами местного самоуправления справок о неиспользовании потребителями услуги по обращению с ТКО в отсутствие подтверждающих документов, перечисленных в  Правилах № 354, является незаконным и необоснованным.</w:t>
      </w:r>
    </w:p>
    <w:p w:rsidR="007A1179" w:rsidRDefault="007A1179" w:rsidP="00AA3522">
      <w:pPr>
        <w:spacing w:line="240" w:lineRule="auto"/>
        <w:ind w:left="0" w:firstLine="709"/>
        <w:jc w:val="both"/>
        <w:rPr>
          <w:rFonts w:ascii="Times New Roman" w:hAnsi="Times New Roman" w:cs="Times New Roman"/>
          <w:color w:val="auto"/>
        </w:rPr>
      </w:pPr>
      <w:r>
        <w:rPr>
          <w:rFonts w:ascii="Times New Roman" w:hAnsi="Times New Roman" w:cs="Times New Roman"/>
          <w:color w:val="auto"/>
        </w:rPr>
        <w:t xml:space="preserve"> </w:t>
      </w:r>
    </w:p>
    <w:p w:rsidR="007A1179" w:rsidRDefault="007A1179" w:rsidP="00AA3522">
      <w:pPr>
        <w:pStyle w:val="Footer"/>
        <w:ind w:left="0" w:firstLine="709"/>
        <w:jc w:val="both"/>
        <w:rPr>
          <w:rFonts w:ascii="Times New Roman" w:hAnsi="Times New Roman" w:cs="Times New Roman"/>
          <w:sz w:val="16"/>
          <w:szCs w:val="16"/>
        </w:rPr>
      </w:pPr>
      <w:r>
        <w:rPr>
          <w:rFonts w:ascii="Times New Roman" w:hAnsi="Times New Roman" w:cs="Times New Roman"/>
        </w:rPr>
        <w:t>И.о. директора</w:t>
      </w:r>
      <w:r>
        <w:rPr>
          <w:rFonts w:ascii="Times New Roman" w:hAnsi="Times New Roman" w:cs="Times New Roman"/>
        </w:rPr>
        <w:tab/>
      </w:r>
      <w:r>
        <w:rPr>
          <w:rFonts w:ascii="Times New Roman" w:hAnsi="Times New Roman" w:cs="Times New Roman"/>
        </w:rPr>
        <w:tab/>
        <w:t>А.В. Музалева</w:t>
      </w:r>
    </w:p>
    <w:p w:rsidR="007A1179" w:rsidRDefault="007A1179" w:rsidP="00AA3522">
      <w:pPr>
        <w:pStyle w:val="Footer"/>
        <w:ind w:left="0" w:firstLine="709"/>
        <w:rPr>
          <w:rFonts w:ascii="Times New Roman" w:hAnsi="Times New Roman" w:cs="Times New Roman"/>
          <w:sz w:val="16"/>
          <w:szCs w:val="16"/>
        </w:rPr>
      </w:pPr>
    </w:p>
    <w:p w:rsidR="007A1179" w:rsidRDefault="007A1179" w:rsidP="00AA3522">
      <w:pPr>
        <w:pStyle w:val="Footer"/>
        <w:ind w:left="0" w:firstLine="709"/>
        <w:rPr>
          <w:rFonts w:ascii="Times New Roman" w:hAnsi="Times New Roman" w:cs="Times New Roman"/>
          <w:sz w:val="16"/>
          <w:szCs w:val="16"/>
        </w:rPr>
      </w:pPr>
    </w:p>
    <w:p w:rsidR="007A1179" w:rsidRDefault="007A1179" w:rsidP="00AA3522">
      <w:pPr>
        <w:pStyle w:val="Footer"/>
        <w:ind w:left="0" w:firstLine="709"/>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E82602">
      <w:pPr>
        <w:pStyle w:val="Footer"/>
        <w:rPr>
          <w:rFonts w:ascii="Times New Roman" w:hAnsi="Times New Roman" w:cs="Times New Roman"/>
          <w:sz w:val="16"/>
          <w:szCs w:val="16"/>
        </w:rPr>
      </w:pPr>
    </w:p>
    <w:p w:rsidR="007A1179" w:rsidRDefault="007A1179" w:rsidP="003E1248">
      <w:pPr>
        <w:pStyle w:val="Footer"/>
      </w:pPr>
      <w:r w:rsidRPr="00336343">
        <w:rPr>
          <w:rFonts w:ascii="Times New Roman" w:hAnsi="Times New Roman" w:cs="Times New Roman"/>
          <w:sz w:val="16"/>
          <w:szCs w:val="16"/>
        </w:rPr>
        <w:t xml:space="preserve"> </w:t>
      </w:r>
    </w:p>
    <w:sectPr w:rsidR="007A1179" w:rsidSect="00B96E79">
      <w:headerReference w:type="default" r:id="rId6"/>
      <w:footerReference w:type="default" r:id="rId7"/>
      <w:pgSz w:w="11906" w:h="16838"/>
      <w:pgMar w:top="2410" w:right="567"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179" w:rsidRDefault="007A1179" w:rsidP="002A1F65">
      <w:r>
        <w:separator/>
      </w:r>
    </w:p>
  </w:endnote>
  <w:endnote w:type="continuationSeparator" w:id="0">
    <w:p w:rsidR="007A1179" w:rsidRDefault="007A1179" w:rsidP="002A1F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altName w:val="Century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TSans-Narrow">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179" w:rsidRPr="001E471A" w:rsidRDefault="007A1179">
    <w:pPr>
      <w:pStyle w:val="Footer"/>
      <w:rPr>
        <w:rFonts w:ascii="Times New Roman" w:hAnsi="Times New Roman" w:cs="Times New Roman"/>
        <w:sz w:val="16"/>
        <w:szCs w:val="16"/>
      </w:rPr>
    </w:pPr>
  </w:p>
  <w:p w:rsidR="007A1179" w:rsidRPr="001E471A" w:rsidRDefault="007A1179">
    <w:pPr>
      <w:pStyle w:val="Footer"/>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179" w:rsidRDefault="007A1179" w:rsidP="002A1F65">
      <w:r>
        <w:separator/>
      </w:r>
    </w:p>
  </w:footnote>
  <w:footnote w:type="continuationSeparator" w:id="0">
    <w:p w:rsidR="007A1179" w:rsidRDefault="007A1179" w:rsidP="002A1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179" w:rsidRPr="005E2261" w:rsidRDefault="007A1179" w:rsidP="002A1F65">
    <w:pPr>
      <w:pStyle w:val="Header"/>
      <w:rPr>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2049" type="#_x0000_t75" alt="фирменный-бланк-4_01.png" style="position:absolute;left:0;text-align:left;margin-left:-114.8pt;margin-top:-21.75pt;width:631.2pt;height:132.35pt;z-index:-251656192;visibility:visible">
          <v:imagedata r:id="rId1" o:title=""/>
        </v:shape>
      </w:pict>
    </w:r>
  </w:p>
  <w:p w:rsidR="007A1179" w:rsidRPr="005E2261" w:rsidRDefault="007A1179" w:rsidP="002A1F65">
    <w:pPr>
      <w:pStyle w:val="NoSpacing"/>
    </w:pPr>
  </w:p>
  <w:p w:rsidR="007A1179" w:rsidRPr="005E2261" w:rsidRDefault="007A1179" w:rsidP="002A1F65">
    <w:pPr>
      <w:pStyle w:val="NoSpacing"/>
    </w:pPr>
  </w:p>
  <w:p w:rsidR="007A1179" w:rsidRPr="00424D4E" w:rsidRDefault="007A1179" w:rsidP="007F469C">
    <w:pPr>
      <w:pStyle w:val="NoSpacing"/>
      <w:tabs>
        <w:tab w:val="left" w:pos="2364"/>
        <w:tab w:val="right" w:pos="8789"/>
      </w:tabs>
      <w:spacing w:line="240" w:lineRule="auto"/>
      <w:jc w:val="left"/>
      <w:rPr>
        <w:rStyle w:val="IntenseEmphasis"/>
        <w:b w:val="0"/>
        <w:bCs w:val="0"/>
      </w:rPr>
    </w:pPr>
    <w:r>
      <w:rPr>
        <w:rStyle w:val="IntenseEmphasis"/>
        <w:b w:val="0"/>
        <w:bCs w:val="0"/>
      </w:rPr>
      <w:tab/>
    </w:r>
    <w:r>
      <w:rPr>
        <w:rStyle w:val="IntenseEmphasis"/>
        <w:b w:val="0"/>
        <w:bCs w:val="0"/>
      </w:rPr>
      <w:tab/>
    </w:r>
  </w:p>
  <w:p w:rsidR="007A1179" w:rsidRPr="0080029C" w:rsidRDefault="007A1179" w:rsidP="002B6C05">
    <w:pPr>
      <w:pStyle w:val="NoSpacing"/>
      <w:tabs>
        <w:tab w:val="left" w:pos="1372"/>
        <w:tab w:val="left" w:pos="1617"/>
        <w:tab w:val="left" w:pos="5135"/>
        <w:tab w:val="right" w:pos="8789"/>
      </w:tabs>
      <w:spacing w:line="240" w:lineRule="auto"/>
      <w:jc w:val="left"/>
      <w:rPr>
        <w:rStyle w:val="Emphasis"/>
        <w:i/>
        <w:iCs/>
        <w:color w:val="FFFFFF"/>
        <w:sz w:val="24"/>
        <w:szCs w:val="24"/>
      </w:rPr>
    </w:pPr>
    <w:r>
      <w:rPr>
        <w:rStyle w:val="IntenseEmphasis"/>
        <w:b w:val="0"/>
        <w:bCs w:val="0"/>
      </w:rPr>
      <w:tab/>
    </w:r>
    <w:r>
      <w:rPr>
        <w:rStyle w:val="IntenseEmphasis"/>
        <w:b w:val="0"/>
        <w:bCs w:val="0"/>
      </w:rPr>
      <w:tab/>
    </w:r>
    <w:r>
      <w:rPr>
        <w:rStyle w:val="IntenseEmphasis"/>
        <w:b w:val="0"/>
        <w:bCs w:val="0"/>
      </w:rPr>
      <w:tab/>
    </w:r>
    <w:r>
      <w:rPr>
        <w:rStyle w:val="IntenseEmphasis"/>
        <w:b w:val="0"/>
        <w:bCs w:val="0"/>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672"/>
    <w:rsid w:val="00011814"/>
    <w:rsid w:val="00024126"/>
    <w:rsid w:val="00026AD9"/>
    <w:rsid w:val="00031FFF"/>
    <w:rsid w:val="00044AE9"/>
    <w:rsid w:val="000543C5"/>
    <w:rsid w:val="00054876"/>
    <w:rsid w:val="00054AB8"/>
    <w:rsid w:val="00056F8B"/>
    <w:rsid w:val="0008432C"/>
    <w:rsid w:val="000866D2"/>
    <w:rsid w:val="0009466E"/>
    <w:rsid w:val="000A0A13"/>
    <w:rsid w:val="000A1003"/>
    <w:rsid w:val="000A2DFD"/>
    <w:rsid w:val="000B1959"/>
    <w:rsid w:val="000B4760"/>
    <w:rsid w:val="000C3F57"/>
    <w:rsid w:val="000D1799"/>
    <w:rsid w:val="000D6142"/>
    <w:rsid w:val="000D65E6"/>
    <w:rsid w:val="000F5281"/>
    <w:rsid w:val="001032D3"/>
    <w:rsid w:val="001032EB"/>
    <w:rsid w:val="00104C7A"/>
    <w:rsid w:val="00111FB4"/>
    <w:rsid w:val="00115AA1"/>
    <w:rsid w:val="00117F6D"/>
    <w:rsid w:val="00165AA4"/>
    <w:rsid w:val="00177CA7"/>
    <w:rsid w:val="00184D6E"/>
    <w:rsid w:val="001B5E2C"/>
    <w:rsid w:val="001C149E"/>
    <w:rsid w:val="001D7D12"/>
    <w:rsid w:val="001E0771"/>
    <w:rsid w:val="001E471A"/>
    <w:rsid w:val="001F22C0"/>
    <w:rsid w:val="001F2696"/>
    <w:rsid w:val="001F4521"/>
    <w:rsid w:val="00207E1C"/>
    <w:rsid w:val="00226D81"/>
    <w:rsid w:val="00237A86"/>
    <w:rsid w:val="00241C8E"/>
    <w:rsid w:val="0024465F"/>
    <w:rsid w:val="00250BD9"/>
    <w:rsid w:val="00261699"/>
    <w:rsid w:val="0028455B"/>
    <w:rsid w:val="00286959"/>
    <w:rsid w:val="00292641"/>
    <w:rsid w:val="002A03F7"/>
    <w:rsid w:val="002A1F65"/>
    <w:rsid w:val="002B6C05"/>
    <w:rsid w:val="002C7D3B"/>
    <w:rsid w:val="002F4F43"/>
    <w:rsid w:val="00330946"/>
    <w:rsid w:val="00336343"/>
    <w:rsid w:val="00350D07"/>
    <w:rsid w:val="00370407"/>
    <w:rsid w:val="00385B97"/>
    <w:rsid w:val="003B4F4E"/>
    <w:rsid w:val="003C4A49"/>
    <w:rsid w:val="003E06C1"/>
    <w:rsid w:val="003E1248"/>
    <w:rsid w:val="003E5006"/>
    <w:rsid w:val="003E5854"/>
    <w:rsid w:val="003E6AC5"/>
    <w:rsid w:val="004027BF"/>
    <w:rsid w:val="00413D1D"/>
    <w:rsid w:val="00414BE2"/>
    <w:rsid w:val="004161C8"/>
    <w:rsid w:val="00424D4E"/>
    <w:rsid w:val="00444FCB"/>
    <w:rsid w:val="00447F03"/>
    <w:rsid w:val="00457954"/>
    <w:rsid w:val="00460801"/>
    <w:rsid w:val="004626D6"/>
    <w:rsid w:val="00474839"/>
    <w:rsid w:val="00494D58"/>
    <w:rsid w:val="004A00D0"/>
    <w:rsid w:val="004C7331"/>
    <w:rsid w:val="004D1B17"/>
    <w:rsid w:val="004D5583"/>
    <w:rsid w:val="004E149F"/>
    <w:rsid w:val="004E52C2"/>
    <w:rsid w:val="004E7633"/>
    <w:rsid w:val="005045AC"/>
    <w:rsid w:val="00514F05"/>
    <w:rsid w:val="00530FAD"/>
    <w:rsid w:val="0055403D"/>
    <w:rsid w:val="00554746"/>
    <w:rsid w:val="00594F28"/>
    <w:rsid w:val="005A354B"/>
    <w:rsid w:val="005A7A6A"/>
    <w:rsid w:val="005C1513"/>
    <w:rsid w:val="005C220C"/>
    <w:rsid w:val="005C357E"/>
    <w:rsid w:val="005D140B"/>
    <w:rsid w:val="005E2261"/>
    <w:rsid w:val="005F1687"/>
    <w:rsid w:val="005F59BD"/>
    <w:rsid w:val="005F5E76"/>
    <w:rsid w:val="00601BF5"/>
    <w:rsid w:val="00601C2A"/>
    <w:rsid w:val="00602E11"/>
    <w:rsid w:val="0060595B"/>
    <w:rsid w:val="00611E6C"/>
    <w:rsid w:val="00615E13"/>
    <w:rsid w:val="00616260"/>
    <w:rsid w:val="006406AB"/>
    <w:rsid w:val="00645F2A"/>
    <w:rsid w:val="006652D7"/>
    <w:rsid w:val="00675349"/>
    <w:rsid w:val="00676A62"/>
    <w:rsid w:val="00681417"/>
    <w:rsid w:val="0068194C"/>
    <w:rsid w:val="00686CA9"/>
    <w:rsid w:val="00697CA4"/>
    <w:rsid w:val="006A20B7"/>
    <w:rsid w:val="006A7CC1"/>
    <w:rsid w:val="006C4F27"/>
    <w:rsid w:val="006C50E7"/>
    <w:rsid w:val="006C7C0A"/>
    <w:rsid w:val="006C7D13"/>
    <w:rsid w:val="006D2814"/>
    <w:rsid w:val="006D4286"/>
    <w:rsid w:val="006E4E98"/>
    <w:rsid w:val="006E779C"/>
    <w:rsid w:val="00707AA8"/>
    <w:rsid w:val="00714296"/>
    <w:rsid w:val="007351F5"/>
    <w:rsid w:val="00750F4E"/>
    <w:rsid w:val="007547F8"/>
    <w:rsid w:val="00766E7E"/>
    <w:rsid w:val="0077147B"/>
    <w:rsid w:val="007819CE"/>
    <w:rsid w:val="0078279E"/>
    <w:rsid w:val="00785B41"/>
    <w:rsid w:val="007948D3"/>
    <w:rsid w:val="007A1179"/>
    <w:rsid w:val="007B1F61"/>
    <w:rsid w:val="007B61E7"/>
    <w:rsid w:val="007D4254"/>
    <w:rsid w:val="007D6188"/>
    <w:rsid w:val="007E0BD0"/>
    <w:rsid w:val="007E6627"/>
    <w:rsid w:val="007F469C"/>
    <w:rsid w:val="0080029C"/>
    <w:rsid w:val="008022C4"/>
    <w:rsid w:val="0082250D"/>
    <w:rsid w:val="00822FE8"/>
    <w:rsid w:val="0083704E"/>
    <w:rsid w:val="00851E5D"/>
    <w:rsid w:val="00852B30"/>
    <w:rsid w:val="00860923"/>
    <w:rsid w:val="0086187D"/>
    <w:rsid w:val="00862B11"/>
    <w:rsid w:val="0087248F"/>
    <w:rsid w:val="00874D68"/>
    <w:rsid w:val="008810C9"/>
    <w:rsid w:val="008A6349"/>
    <w:rsid w:val="008C353A"/>
    <w:rsid w:val="008D0FF1"/>
    <w:rsid w:val="008D26B2"/>
    <w:rsid w:val="008E4677"/>
    <w:rsid w:val="008E7DE6"/>
    <w:rsid w:val="00940E8E"/>
    <w:rsid w:val="00942D02"/>
    <w:rsid w:val="00944B46"/>
    <w:rsid w:val="00946129"/>
    <w:rsid w:val="00951309"/>
    <w:rsid w:val="00953485"/>
    <w:rsid w:val="00971E66"/>
    <w:rsid w:val="00991CF8"/>
    <w:rsid w:val="00995B58"/>
    <w:rsid w:val="00997D2C"/>
    <w:rsid w:val="009B3929"/>
    <w:rsid w:val="009C05B6"/>
    <w:rsid w:val="009C3575"/>
    <w:rsid w:val="009D224F"/>
    <w:rsid w:val="009F16A9"/>
    <w:rsid w:val="009F3863"/>
    <w:rsid w:val="009F433F"/>
    <w:rsid w:val="009F7BF8"/>
    <w:rsid w:val="009F7D46"/>
    <w:rsid w:val="00A02D86"/>
    <w:rsid w:val="00A12413"/>
    <w:rsid w:val="00A340E4"/>
    <w:rsid w:val="00A565C6"/>
    <w:rsid w:val="00A653E5"/>
    <w:rsid w:val="00A66A7C"/>
    <w:rsid w:val="00A67BB2"/>
    <w:rsid w:val="00A67F34"/>
    <w:rsid w:val="00A77E68"/>
    <w:rsid w:val="00A8595E"/>
    <w:rsid w:val="00A907E5"/>
    <w:rsid w:val="00A96545"/>
    <w:rsid w:val="00AA3522"/>
    <w:rsid w:val="00AA64E7"/>
    <w:rsid w:val="00AA6CCF"/>
    <w:rsid w:val="00AB0F80"/>
    <w:rsid w:val="00AB2FA7"/>
    <w:rsid w:val="00AB3F2C"/>
    <w:rsid w:val="00AC4488"/>
    <w:rsid w:val="00AD36DA"/>
    <w:rsid w:val="00AE214A"/>
    <w:rsid w:val="00AF1793"/>
    <w:rsid w:val="00B04746"/>
    <w:rsid w:val="00B21077"/>
    <w:rsid w:val="00B36F04"/>
    <w:rsid w:val="00B54801"/>
    <w:rsid w:val="00B55D9A"/>
    <w:rsid w:val="00B5631D"/>
    <w:rsid w:val="00B658B2"/>
    <w:rsid w:val="00B76401"/>
    <w:rsid w:val="00B92914"/>
    <w:rsid w:val="00B96E79"/>
    <w:rsid w:val="00BB3C21"/>
    <w:rsid w:val="00BB57D3"/>
    <w:rsid w:val="00BC532F"/>
    <w:rsid w:val="00BD2A6E"/>
    <w:rsid w:val="00BE0DF1"/>
    <w:rsid w:val="00BE47B5"/>
    <w:rsid w:val="00BF3D9D"/>
    <w:rsid w:val="00C001DD"/>
    <w:rsid w:val="00C01CB2"/>
    <w:rsid w:val="00C33BAD"/>
    <w:rsid w:val="00C67494"/>
    <w:rsid w:val="00C74085"/>
    <w:rsid w:val="00C839F9"/>
    <w:rsid w:val="00C85BF8"/>
    <w:rsid w:val="00C87242"/>
    <w:rsid w:val="00C97DD4"/>
    <w:rsid w:val="00CA76FB"/>
    <w:rsid w:val="00CB014B"/>
    <w:rsid w:val="00CB3C95"/>
    <w:rsid w:val="00CB76D5"/>
    <w:rsid w:val="00CC283B"/>
    <w:rsid w:val="00CC51FB"/>
    <w:rsid w:val="00CC6921"/>
    <w:rsid w:val="00CF2673"/>
    <w:rsid w:val="00D11996"/>
    <w:rsid w:val="00D200D4"/>
    <w:rsid w:val="00D30FB6"/>
    <w:rsid w:val="00D557CB"/>
    <w:rsid w:val="00D62317"/>
    <w:rsid w:val="00D62BA2"/>
    <w:rsid w:val="00D63D06"/>
    <w:rsid w:val="00D70613"/>
    <w:rsid w:val="00D71C40"/>
    <w:rsid w:val="00D73D1E"/>
    <w:rsid w:val="00D86932"/>
    <w:rsid w:val="00DA140A"/>
    <w:rsid w:val="00DC507C"/>
    <w:rsid w:val="00DD37ED"/>
    <w:rsid w:val="00DD5E69"/>
    <w:rsid w:val="00DD73DD"/>
    <w:rsid w:val="00DE0AED"/>
    <w:rsid w:val="00DE7FEF"/>
    <w:rsid w:val="00DF46E4"/>
    <w:rsid w:val="00DF5404"/>
    <w:rsid w:val="00E1553E"/>
    <w:rsid w:val="00E15581"/>
    <w:rsid w:val="00E2367C"/>
    <w:rsid w:val="00E43C54"/>
    <w:rsid w:val="00E55CB8"/>
    <w:rsid w:val="00E56EC0"/>
    <w:rsid w:val="00E61F62"/>
    <w:rsid w:val="00E63EC3"/>
    <w:rsid w:val="00E82602"/>
    <w:rsid w:val="00E9445F"/>
    <w:rsid w:val="00EB2D5F"/>
    <w:rsid w:val="00EC21AA"/>
    <w:rsid w:val="00EC4C0A"/>
    <w:rsid w:val="00EE3DD4"/>
    <w:rsid w:val="00EE7CB3"/>
    <w:rsid w:val="00EF77AA"/>
    <w:rsid w:val="00F02576"/>
    <w:rsid w:val="00F41903"/>
    <w:rsid w:val="00F66D1B"/>
    <w:rsid w:val="00F765DE"/>
    <w:rsid w:val="00F9734B"/>
    <w:rsid w:val="00FA4032"/>
    <w:rsid w:val="00FA5672"/>
    <w:rsid w:val="00FA5F9B"/>
    <w:rsid w:val="00FC1149"/>
    <w:rsid w:val="00FC2005"/>
    <w:rsid w:val="00FC5A99"/>
    <w:rsid w:val="00FC6175"/>
    <w:rsid w:val="00FD60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сновной"/>
    <w:qFormat/>
    <w:rsid w:val="002A1F65"/>
    <w:pPr>
      <w:spacing w:line="276" w:lineRule="auto"/>
      <w:ind w:left="-567" w:firstLine="567"/>
    </w:pPr>
    <w:rPr>
      <w:rFonts w:ascii="Segoe UI" w:hAnsi="Segoe UI" w:cs="Segoe UI"/>
      <w:color w:val="262626"/>
      <w:sz w:val="24"/>
      <w:szCs w:val="24"/>
      <w:lang w:eastAsia="en-US"/>
    </w:rPr>
  </w:style>
  <w:style w:type="paragraph" w:styleId="Heading1">
    <w:name w:val="heading 1"/>
    <w:aliases w:val="Основной 1"/>
    <w:basedOn w:val="Normal"/>
    <w:next w:val="Normal"/>
    <w:link w:val="Heading1Char"/>
    <w:uiPriority w:val="99"/>
    <w:qFormat/>
    <w:rsid w:val="006C4F27"/>
    <w:pPr>
      <w:outlineLvl w:val="0"/>
    </w:pPr>
    <w:rPr>
      <w:shd w:val="clear" w:color="auto" w:fill="FFFFF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Основной 1 Char"/>
    <w:basedOn w:val="DefaultParagraphFont"/>
    <w:link w:val="Heading1"/>
    <w:uiPriority w:val="99"/>
    <w:locked/>
    <w:rsid w:val="006C4F27"/>
    <w:rPr>
      <w:rFonts w:ascii="Segoe UI" w:hAnsi="Segoe UI" w:cs="Segoe UI"/>
      <w:color w:val="262626"/>
      <w:sz w:val="24"/>
      <w:szCs w:val="24"/>
    </w:rPr>
  </w:style>
  <w:style w:type="paragraph" w:styleId="Header">
    <w:name w:val="header"/>
    <w:basedOn w:val="Normal"/>
    <w:link w:val="HeaderChar"/>
    <w:uiPriority w:val="99"/>
    <w:rsid w:val="0082250D"/>
    <w:pPr>
      <w:tabs>
        <w:tab w:val="center" w:pos="4677"/>
        <w:tab w:val="right" w:pos="9355"/>
      </w:tabs>
      <w:spacing w:line="240" w:lineRule="auto"/>
    </w:pPr>
  </w:style>
  <w:style w:type="character" w:customStyle="1" w:styleId="HeaderChar">
    <w:name w:val="Header Char"/>
    <w:basedOn w:val="DefaultParagraphFont"/>
    <w:link w:val="Header"/>
    <w:uiPriority w:val="99"/>
    <w:locked/>
    <w:rsid w:val="0082250D"/>
  </w:style>
  <w:style w:type="paragraph" w:styleId="Footer">
    <w:name w:val="footer"/>
    <w:basedOn w:val="Normal"/>
    <w:link w:val="FooterChar"/>
    <w:uiPriority w:val="99"/>
    <w:rsid w:val="0082250D"/>
    <w:pPr>
      <w:tabs>
        <w:tab w:val="center" w:pos="4677"/>
        <w:tab w:val="right" w:pos="9355"/>
      </w:tabs>
      <w:spacing w:line="240" w:lineRule="auto"/>
    </w:pPr>
  </w:style>
  <w:style w:type="character" w:customStyle="1" w:styleId="FooterChar">
    <w:name w:val="Footer Char"/>
    <w:basedOn w:val="DefaultParagraphFont"/>
    <w:link w:val="Footer"/>
    <w:uiPriority w:val="99"/>
    <w:locked/>
    <w:rsid w:val="0082250D"/>
  </w:style>
  <w:style w:type="paragraph" w:styleId="BalloonText">
    <w:name w:val="Balloon Text"/>
    <w:basedOn w:val="Normal"/>
    <w:link w:val="BalloonTextChar"/>
    <w:uiPriority w:val="99"/>
    <w:semiHidden/>
    <w:rsid w:val="008225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250D"/>
    <w:rPr>
      <w:rFonts w:ascii="Tahoma" w:hAnsi="Tahoma" w:cs="Tahoma"/>
      <w:sz w:val="16"/>
      <w:szCs w:val="16"/>
    </w:rPr>
  </w:style>
  <w:style w:type="paragraph" w:styleId="NoSpacing">
    <w:name w:val="No Spacing"/>
    <w:aliases w:val="Дата КП"/>
    <w:basedOn w:val="Normal"/>
    <w:uiPriority w:val="99"/>
    <w:qFormat/>
    <w:rsid w:val="002A1F65"/>
    <w:pPr>
      <w:jc w:val="right"/>
    </w:pPr>
    <w:rPr>
      <w:b/>
      <w:bCs/>
      <w:sz w:val="20"/>
      <w:szCs w:val="20"/>
    </w:rPr>
  </w:style>
  <w:style w:type="character" w:customStyle="1" w:styleId="apple-converted-space">
    <w:name w:val="apple-converted-space"/>
    <w:basedOn w:val="DefaultParagraphFont"/>
    <w:uiPriority w:val="99"/>
    <w:rsid w:val="0080029C"/>
  </w:style>
  <w:style w:type="character" w:styleId="Emphasis">
    <w:name w:val="Emphasis"/>
    <w:aliases w:val="Директор"/>
    <w:basedOn w:val="DefaultParagraphFont"/>
    <w:uiPriority w:val="99"/>
    <w:qFormat/>
    <w:rsid w:val="00AB0F80"/>
  </w:style>
  <w:style w:type="paragraph" w:styleId="Subtitle">
    <w:name w:val="Subtitle"/>
    <w:aliases w:val="ФИО 1"/>
    <w:basedOn w:val="NoSpacing"/>
    <w:next w:val="Normal"/>
    <w:link w:val="SubtitleChar"/>
    <w:uiPriority w:val="99"/>
    <w:qFormat/>
    <w:rsid w:val="006C4F27"/>
    <w:pPr>
      <w:ind w:firstLine="0"/>
      <w:jc w:val="left"/>
    </w:pPr>
  </w:style>
  <w:style w:type="character" w:customStyle="1" w:styleId="SubtitleChar">
    <w:name w:val="Subtitle Char"/>
    <w:aliases w:val="ФИО 1 Char"/>
    <w:basedOn w:val="DefaultParagraphFont"/>
    <w:link w:val="Subtitle"/>
    <w:uiPriority w:val="99"/>
    <w:locked/>
    <w:rsid w:val="006C4F27"/>
    <w:rPr>
      <w:rFonts w:ascii="Segoe UI" w:hAnsi="Segoe UI" w:cs="Segoe UI"/>
      <w:b/>
      <w:bCs/>
      <w:color w:val="262626"/>
      <w:sz w:val="28"/>
      <w:szCs w:val="28"/>
    </w:rPr>
  </w:style>
  <w:style w:type="character" w:styleId="SubtleEmphasis">
    <w:name w:val="Subtle Emphasis"/>
    <w:aliases w:val="Уважаемый ФИО"/>
    <w:basedOn w:val="DefaultParagraphFont"/>
    <w:uiPriority w:val="99"/>
    <w:qFormat/>
    <w:rsid w:val="002A1F65"/>
  </w:style>
  <w:style w:type="character" w:styleId="IntenseEmphasis">
    <w:name w:val="Intense Emphasis"/>
    <w:aliases w:val="Колонтитул КП"/>
    <w:basedOn w:val="Emphasis"/>
    <w:uiPriority w:val="99"/>
    <w:qFormat/>
    <w:rsid w:val="00424D4E"/>
    <w:rPr>
      <w:color w:val="FFFFFF"/>
      <w:sz w:val="24"/>
      <w:szCs w:val="24"/>
    </w:rPr>
  </w:style>
  <w:style w:type="character" w:styleId="Strong">
    <w:name w:val="Strong"/>
    <w:basedOn w:val="DefaultParagraphFont"/>
    <w:uiPriority w:val="99"/>
    <w:qFormat/>
    <w:rsid w:val="006C4F27"/>
    <w:rPr>
      <w:b/>
      <w:bCs/>
    </w:rPr>
  </w:style>
  <w:style w:type="character" w:styleId="Hyperlink">
    <w:name w:val="Hyperlink"/>
    <w:basedOn w:val="DefaultParagraphFont"/>
    <w:uiPriority w:val="99"/>
    <w:rsid w:val="00DC507C"/>
    <w:rPr>
      <w:color w:val="0000FF"/>
      <w:u w:val="single"/>
    </w:rPr>
  </w:style>
  <w:style w:type="character" w:customStyle="1" w:styleId="UnresolvedMention">
    <w:name w:val="Unresolved Mention"/>
    <w:basedOn w:val="DefaultParagraphFont"/>
    <w:uiPriority w:val="99"/>
    <w:semiHidden/>
    <w:rsid w:val="00766E7E"/>
    <w:rPr>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2130706551">
      <w:marLeft w:val="0"/>
      <w:marRight w:val="0"/>
      <w:marTop w:val="0"/>
      <w:marBottom w:val="0"/>
      <w:divBdr>
        <w:top w:val="none" w:sz="0" w:space="0" w:color="auto"/>
        <w:left w:val="none" w:sz="0" w:space="0" w:color="auto"/>
        <w:bottom w:val="none" w:sz="0" w:space="0" w:color="auto"/>
        <w:right w:val="none" w:sz="0" w:space="0" w:color="auto"/>
      </w:divBdr>
    </w:div>
    <w:div w:id="2130706553">
      <w:marLeft w:val="0"/>
      <w:marRight w:val="0"/>
      <w:marTop w:val="0"/>
      <w:marBottom w:val="0"/>
      <w:divBdr>
        <w:top w:val="none" w:sz="0" w:space="0" w:color="auto"/>
        <w:left w:val="none" w:sz="0" w:space="0" w:color="auto"/>
        <w:bottom w:val="none" w:sz="0" w:space="0" w:color="auto"/>
        <w:right w:val="none" w:sz="0" w:space="0" w:color="auto"/>
      </w:divBdr>
    </w:div>
    <w:div w:id="2130706557">
      <w:marLeft w:val="0"/>
      <w:marRight w:val="0"/>
      <w:marTop w:val="0"/>
      <w:marBottom w:val="0"/>
      <w:divBdr>
        <w:top w:val="none" w:sz="0" w:space="0" w:color="auto"/>
        <w:left w:val="none" w:sz="0" w:space="0" w:color="auto"/>
        <w:bottom w:val="none" w:sz="0" w:space="0" w:color="auto"/>
        <w:right w:val="none" w:sz="0" w:space="0" w:color="auto"/>
      </w:divBdr>
    </w:div>
    <w:div w:id="2130706559">
      <w:marLeft w:val="0"/>
      <w:marRight w:val="0"/>
      <w:marTop w:val="0"/>
      <w:marBottom w:val="0"/>
      <w:divBdr>
        <w:top w:val="none" w:sz="0" w:space="0" w:color="auto"/>
        <w:left w:val="none" w:sz="0" w:space="0" w:color="auto"/>
        <w:bottom w:val="none" w:sz="0" w:space="0" w:color="auto"/>
        <w:right w:val="none" w:sz="0" w:space="0" w:color="auto"/>
      </w:divBdr>
    </w:div>
    <w:div w:id="2130706560">
      <w:marLeft w:val="0"/>
      <w:marRight w:val="0"/>
      <w:marTop w:val="0"/>
      <w:marBottom w:val="0"/>
      <w:divBdr>
        <w:top w:val="none" w:sz="0" w:space="0" w:color="auto"/>
        <w:left w:val="none" w:sz="0" w:space="0" w:color="auto"/>
        <w:bottom w:val="none" w:sz="0" w:space="0" w:color="auto"/>
        <w:right w:val="none" w:sz="0" w:space="0" w:color="auto"/>
      </w:divBdr>
    </w:div>
    <w:div w:id="2130706561">
      <w:marLeft w:val="0"/>
      <w:marRight w:val="0"/>
      <w:marTop w:val="0"/>
      <w:marBottom w:val="0"/>
      <w:divBdr>
        <w:top w:val="none" w:sz="0" w:space="0" w:color="auto"/>
        <w:left w:val="none" w:sz="0" w:space="0" w:color="auto"/>
        <w:bottom w:val="none" w:sz="0" w:space="0" w:color="auto"/>
        <w:right w:val="none" w:sz="0" w:space="0" w:color="auto"/>
      </w:divBdr>
    </w:div>
    <w:div w:id="2130706562">
      <w:marLeft w:val="0"/>
      <w:marRight w:val="0"/>
      <w:marTop w:val="0"/>
      <w:marBottom w:val="0"/>
      <w:divBdr>
        <w:top w:val="none" w:sz="0" w:space="0" w:color="auto"/>
        <w:left w:val="none" w:sz="0" w:space="0" w:color="auto"/>
        <w:bottom w:val="none" w:sz="0" w:space="0" w:color="auto"/>
        <w:right w:val="none" w:sz="0" w:space="0" w:color="auto"/>
      </w:divBdr>
    </w:div>
    <w:div w:id="2130706564">
      <w:marLeft w:val="0"/>
      <w:marRight w:val="0"/>
      <w:marTop w:val="0"/>
      <w:marBottom w:val="0"/>
      <w:divBdr>
        <w:top w:val="none" w:sz="0" w:space="0" w:color="auto"/>
        <w:left w:val="none" w:sz="0" w:space="0" w:color="auto"/>
        <w:bottom w:val="none" w:sz="0" w:space="0" w:color="auto"/>
        <w:right w:val="none" w:sz="0" w:space="0" w:color="auto"/>
      </w:divBdr>
    </w:div>
    <w:div w:id="2130706565">
      <w:marLeft w:val="0"/>
      <w:marRight w:val="0"/>
      <w:marTop w:val="0"/>
      <w:marBottom w:val="0"/>
      <w:divBdr>
        <w:top w:val="none" w:sz="0" w:space="0" w:color="auto"/>
        <w:left w:val="none" w:sz="0" w:space="0" w:color="auto"/>
        <w:bottom w:val="none" w:sz="0" w:space="0" w:color="auto"/>
        <w:right w:val="none" w:sz="0" w:space="0" w:color="auto"/>
      </w:divBdr>
    </w:div>
    <w:div w:id="2130706566">
      <w:marLeft w:val="0"/>
      <w:marRight w:val="0"/>
      <w:marTop w:val="0"/>
      <w:marBottom w:val="0"/>
      <w:divBdr>
        <w:top w:val="none" w:sz="0" w:space="0" w:color="auto"/>
        <w:left w:val="none" w:sz="0" w:space="0" w:color="auto"/>
        <w:bottom w:val="none" w:sz="0" w:space="0" w:color="auto"/>
        <w:right w:val="none" w:sz="0" w:space="0" w:color="auto"/>
      </w:divBdr>
      <w:divsChild>
        <w:div w:id="2130706558">
          <w:marLeft w:val="720"/>
          <w:marRight w:val="720"/>
          <w:marTop w:val="100"/>
          <w:marBottom w:val="100"/>
          <w:divBdr>
            <w:top w:val="none" w:sz="0" w:space="0" w:color="auto"/>
            <w:left w:val="none" w:sz="0" w:space="0" w:color="auto"/>
            <w:bottom w:val="none" w:sz="0" w:space="0" w:color="auto"/>
            <w:right w:val="none" w:sz="0" w:space="0" w:color="auto"/>
          </w:divBdr>
          <w:divsChild>
            <w:div w:id="2130706555">
              <w:marLeft w:val="109"/>
              <w:marRight w:val="109"/>
              <w:marTop w:val="109"/>
              <w:marBottom w:val="109"/>
              <w:divBdr>
                <w:top w:val="none" w:sz="0" w:space="0" w:color="auto"/>
                <w:left w:val="single" w:sz="4" w:space="5" w:color="0857A6"/>
                <w:bottom w:val="none" w:sz="0" w:space="0" w:color="auto"/>
                <w:right w:val="none" w:sz="0" w:space="0" w:color="auto"/>
              </w:divBdr>
              <w:divsChild>
                <w:div w:id="2130706582">
                  <w:marLeft w:val="0"/>
                  <w:marRight w:val="0"/>
                  <w:marTop w:val="0"/>
                  <w:marBottom w:val="0"/>
                  <w:divBdr>
                    <w:top w:val="none" w:sz="0" w:space="0" w:color="auto"/>
                    <w:left w:val="none" w:sz="0" w:space="0" w:color="auto"/>
                    <w:bottom w:val="none" w:sz="0" w:space="0" w:color="auto"/>
                    <w:right w:val="none" w:sz="0" w:space="0" w:color="auto"/>
                  </w:divBdr>
                  <w:divsChild>
                    <w:div w:id="2130706568">
                      <w:marLeft w:val="0"/>
                      <w:marRight w:val="0"/>
                      <w:marTop w:val="0"/>
                      <w:marBottom w:val="0"/>
                      <w:divBdr>
                        <w:top w:val="none" w:sz="0" w:space="0" w:color="auto"/>
                        <w:left w:val="none" w:sz="0" w:space="0" w:color="auto"/>
                        <w:bottom w:val="none" w:sz="0" w:space="0" w:color="auto"/>
                        <w:right w:val="none" w:sz="0" w:space="0" w:color="auto"/>
                      </w:divBdr>
                      <w:divsChild>
                        <w:div w:id="2130706563">
                          <w:marLeft w:val="0"/>
                          <w:marRight w:val="0"/>
                          <w:marTop w:val="0"/>
                          <w:marBottom w:val="0"/>
                          <w:divBdr>
                            <w:top w:val="none" w:sz="0" w:space="0" w:color="auto"/>
                            <w:left w:val="none" w:sz="0" w:space="0" w:color="auto"/>
                            <w:bottom w:val="none" w:sz="0" w:space="0" w:color="auto"/>
                            <w:right w:val="none" w:sz="0" w:space="0" w:color="auto"/>
                          </w:divBdr>
                          <w:divsChild>
                            <w:div w:id="2130706549">
                              <w:marLeft w:val="0"/>
                              <w:marRight w:val="0"/>
                              <w:marTop w:val="0"/>
                              <w:marBottom w:val="0"/>
                              <w:divBdr>
                                <w:top w:val="none" w:sz="0" w:space="0" w:color="auto"/>
                                <w:left w:val="none" w:sz="0" w:space="0" w:color="auto"/>
                                <w:bottom w:val="none" w:sz="0" w:space="0" w:color="auto"/>
                                <w:right w:val="none" w:sz="0" w:space="0" w:color="auto"/>
                              </w:divBdr>
                              <w:divsChild>
                                <w:div w:id="2130706576">
                                  <w:marLeft w:val="0"/>
                                  <w:marRight w:val="0"/>
                                  <w:marTop w:val="0"/>
                                  <w:marBottom w:val="0"/>
                                  <w:divBdr>
                                    <w:top w:val="none" w:sz="0" w:space="0" w:color="auto"/>
                                    <w:left w:val="none" w:sz="0" w:space="0" w:color="auto"/>
                                    <w:bottom w:val="none" w:sz="0" w:space="0" w:color="auto"/>
                                    <w:right w:val="none" w:sz="0" w:space="0" w:color="auto"/>
                                  </w:divBdr>
                                  <w:divsChild>
                                    <w:div w:id="21307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706567">
      <w:marLeft w:val="0"/>
      <w:marRight w:val="0"/>
      <w:marTop w:val="0"/>
      <w:marBottom w:val="0"/>
      <w:divBdr>
        <w:top w:val="none" w:sz="0" w:space="0" w:color="auto"/>
        <w:left w:val="none" w:sz="0" w:space="0" w:color="auto"/>
        <w:bottom w:val="none" w:sz="0" w:space="0" w:color="auto"/>
        <w:right w:val="none" w:sz="0" w:space="0" w:color="auto"/>
      </w:divBdr>
    </w:div>
    <w:div w:id="2130706569">
      <w:marLeft w:val="0"/>
      <w:marRight w:val="0"/>
      <w:marTop w:val="0"/>
      <w:marBottom w:val="0"/>
      <w:divBdr>
        <w:top w:val="none" w:sz="0" w:space="0" w:color="auto"/>
        <w:left w:val="none" w:sz="0" w:space="0" w:color="auto"/>
        <w:bottom w:val="none" w:sz="0" w:space="0" w:color="auto"/>
        <w:right w:val="none" w:sz="0" w:space="0" w:color="auto"/>
      </w:divBdr>
    </w:div>
    <w:div w:id="2130706570">
      <w:marLeft w:val="0"/>
      <w:marRight w:val="0"/>
      <w:marTop w:val="0"/>
      <w:marBottom w:val="0"/>
      <w:divBdr>
        <w:top w:val="none" w:sz="0" w:space="0" w:color="auto"/>
        <w:left w:val="none" w:sz="0" w:space="0" w:color="auto"/>
        <w:bottom w:val="none" w:sz="0" w:space="0" w:color="auto"/>
        <w:right w:val="none" w:sz="0" w:space="0" w:color="auto"/>
      </w:divBdr>
    </w:div>
    <w:div w:id="2130706571">
      <w:marLeft w:val="0"/>
      <w:marRight w:val="0"/>
      <w:marTop w:val="0"/>
      <w:marBottom w:val="0"/>
      <w:divBdr>
        <w:top w:val="none" w:sz="0" w:space="0" w:color="auto"/>
        <w:left w:val="none" w:sz="0" w:space="0" w:color="auto"/>
        <w:bottom w:val="none" w:sz="0" w:space="0" w:color="auto"/>
        <w:right w:val="none" w:sz="0" w:space="0" w:color="auto"/>
      </w:divBdr>
    </w:div>
    <w:div w:id="2130706572">
      <w:marLeft w:val="0"/>
      <w:marRight w:val="0"/>
      <w:marTop w:val="0"/>
      <w:marBottom w:val="0"/>
      <w:divBdr>
        <w:top w:val="none" w:sz="0" w:space="0" w:color="auto"/>
        <w:left w:val="none" w:sz="0" w:space="0" w:color="auto"/>
        <w:bottom w:val="none" w:sz="0" w:space="0" w:color="auto"/>
        <w:right w:val="none" w:sz="0" w:space="0" w:color="auto"/>
      </w:divBdr>
    </w:div>
    <w:div w:id="2130706573">
      <w:marLeft w:val="0"/>
      <w:marRight w:val="0"/>
      <w:marTop w:val="0"/>
      <w:marBottom w:val="0"/>
      <w:divBdr>
        <w:top w:val="none" w:sz="0" w:space="0" w:color="auto"/>
        <w:left w:val="none" w:sz="0" w:space="0" w:color="auto"/>
        <w:bottom w:val="none" w:sz="0" w:space="0" w:color="auto"/>
        <w:right w:val="none" w:sz="0" w:space="0" w:color="auto"/>
      </w:divBdr>
    </w:div>
    <w:div w:id="2130706574">
      <w:marLeft w:val="0"/>
      <w:marRight w:val="0"/>
      <w:marTop w:val="0"/>
      <w:marBottom w:val="0"/>
      <w:divBdr>
        <w:top w:val="none" w:sz="0" w:space="0" w:color="auto"/>
        <w:left w:val="none" w:sz="0" w:space="0" w:color="auto"/>
        <w:bottom w:val="none" w:sz="0" w:space="0" w:color="auto"/>
        <w:right w:val="none" w:sz="0" w:space="0" w:color="auto"/>
      </w:divBdr>
    </w:div>
    <w:div w:id="2130706577">
      <w:marLeft w:val="0"/>
      <w:marRight w:val="0"/>
      <w:marTop w:val="0"/>
      <w:marBottom w:val="0"/>
      <w:divBdr>
        <w:top w:val="none" w:sz="0" w:space="0" w:color="auto"/>
        <w:left w:val="none" w:sz="0" w:space="0" w:color="auto"/>
        <w:bottom w:val="none" w:sz="0" w:space="0" w:color="auto"/>
        <w:right w:val="none" w:sz="0" w:space="0" w:color="auto"/>
      </w:divBdr>
    </w:div>
    <w:div w:id="2130706580">
      <w:marLeft w:val="0"/>
      <w:marRight w:val="0"/>
      <w:marTop w:val="0"/>
      <w:marBottom w:val="0"/>
      <w:divBdr>
        <w:top w:val="none" w:sz="0" w:space="0" w:color="auto"/>
        <w:left w:val="none" w:sz="0" w:space="0" w:color="auto"/>
        <w:bottom w:val="none" w:sz="0" w:space="0" w:color="auto"/>
        <w:right w:val="none" w:sz="0" w:space="0" w:color="auto"/>
      </w:divBdr>
    </w:div>
    <w:div w:id="2130706581">
      <w:marLeft w:val="0"/>
      <w:marRight w:val="0"/>
      <w:marTop w:val="0"/>
      <w:marBottom w:val="0"/>
      <w:divBdr>
        <w:top w:val="none" w:sz="0" w:space="0" w:color="auto"/>
        <w:left w:val="none" w:sz="0" w:space="0" w:color="auto"/>
        <w:bottom w:val="none" w:sz="0" w:space="0" w:color="auto"/>
        <w:right w:val="none" w:sz="0" w:space="0" w:color="auto"/>
      </w:divBdr>
    </w:div>
    <w:div w:id="2130706583">
      <w:marLeft w:val="0"/>
      <w:marRight w:val="0"/>
      <w:marTop w:val="0"/>
      <w:marBottom w:val="0"/>
      <w:divBdr>
        <w:top w:val="none" w:sz="0" w:space="0" w:color="auto"/>
        <w:left w:val="none" w:sz="0" w:space="0" w:color="auto"/>
        <w:bottom w:val="none" w:sz="0" w:space="0" w:color="auto"/>
        <w:right w:val="none" w:sz="0" w:space="0" w:color="auto"/>
      </w:divBdr>
    </w:div>
    <w:div w:id="2130706584">
      <w:marLeft w:val="0"/>
      <w:marRight w:val="0"/>
      <w:marTop w:val="0"/>
      <w:marBottom w:val="0"/>
      <w:divBdr>
        <w:top w:val="none" w:sz="0" w:space="0" w:color="auto"/>
        <w:left w:val="none" w:sz="0" w:space="0" w:color="auto"/>
        <w:bottom w:val="none" w:sz="0" w:space="0" w:color="auto"/>
        <w:right w:val="none" w:sz="0" w:space="0" w:color="auto"/>
      </w:divBdr>
      <w:divsChild>
        <w:div w:id="2130706575">
          <w:marLeft w:val="0"/>
          <w:marRight w:val="-109"/>
          <w:marTop w:val="312"/>
          <w:marBottom w:val="312"/>
          <w:divBdr>
            <w:top w:val="none" w:sz="0" w:space="0" w:color="auto"/>
            <w:left w:val="none" w:sz="0" w:space="0" w:color="auto"/>
            <w:bottom w:val="none" w:sz="0" w:space="0" w:color="auto"/>
            <w:right w:val="none" w:sz="0" w:space="0" w:color="auto"/>
          </w:divBdr>
          <w:divsChild>
            <w:div w:id="2130706556">
              <w:marLeft w:val="0"/>
              <w:marRight w:val="0"/>
              <w:marTop w:val="0"/>
              <w:marBottom w:val="0"/>
              <w:divBdr>
                <w:top w:val="single" w:sz="4" w:space="5" w:color="auto"/>
                <w:left w:val="single" w:sz="4" w:space="5" w:color="auto"/>
                <w:bottom w:val="none" w:sz="0" w:space="0" w:color="auto"/>
                <w:right w:val="single" w:sz="4" w:space="5" w:color="auto"/>
              </w:divBdr>
              <w:divsChild>
                <w:div w:id="2130706550">
                  <w:marLeft w:val="0"/>
                  <w:marRight w:val="-109"/>
                  <w:marTop w:val="0"/>
                  <w:marBottom w:val="0"/>
                  <w:divBdr>
                    <w:top w:val="none" w:sz="0" w:space="0" w:color="auto"/>
                    <w:left w:val="none" w:sz="0" w:space="0" w:color="auto"/>
                    <w:bottom w:val="none" w:sz="0" w:space="0" w:color="auto"/>
                    <w:right w:val="none" w:sz="0" w:space="0" w:color="auto"/>
                  </w:divBdr>
                  <w:divsChild>
                    <w:div w:id="2130706552">
                      <w:marLeft w:val="0"/>
                      <w:marRight w:val="-109"/>
                      <w:marTop w:val="312"/>
                      <w:marBottom w:val="312"/>
                      <w:divBdr>
                        <w:top w:val="none" w:sz="0" w:space="0" w:color="auto"/>
                        <w:left w:val="none" w:sz="0" w:space="0" w:color="auto"/>
                        <w:bottom w:val="none" w:sz="0" w:space="0" w:color="auto"/>
                        <w:right w:val="none" w:sz="0" w:space="0" w:color="auto"/>
                      </w:divBdr>
                      <w:divsChild>
                        <w:div w:id="2130706578">
                          <w:marLeft w:val="0"/>
                          <w:marRight w:val="0"/>
                          <w:marTop w:val="0"/>
                          <w:marBottom w:val="0"/>
                          <w:divBdr>
                            <w:top w:val="single" w:sz="4" w:space="5" w:color="auto"/>
                            <w:left w:val="single" w:sz="4" w:space="5" w:color="auto"/>
                            <w:bottom w:val="none" w:sz="0" w:space="0" w:color="auto"/>
                            <w:right w:val="none" w:sz="0" w:space="0" w:color="auto"/>
                          </w:divBdr>
                          <w:divsChild>
                            <w:div w:id="2130706554">
                              <w:marLeft w:val="0"/>
                              <w:marRight w:val="-10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06585">
      <w:marLeft w:val="0"/>
      <w:marRight w:val="0"/>
      <w:marTop w:val="0"/>
      <w:marBottom w:val="0"/>
      <w:divBdr>
        <w:top w:val="none" w:sz="0" w:space="0" w:color="auto"/>
        <w:left w:val="none" w:sz="0" w:space="0" w:color="auto"/>
        <w:bottom w:val="none" w:sz="0" w:space="0" w:color="auto"/>
        <w:right w:val="none" w:sz="0" w:space="0" w:color="auto"/>
      </w:divBdr>
    </w:div>
    <w:div w:id="2130706586">
      <w:marLeft w:val="0"/>
      <w:marRight w:val="0"/>
      <w:marTop w:val="0"/>
      <w:marBottom w:val="0"/>
      <w:divBdr>
        <w:top w:val="none" w:sz="0" w:space="0" w:color="auto"/>
        <w:left w:val="none" w:sz="0" w:space="0" w:color="auto"/>
        <w:bottom w:val="none" w:sz="0" w:space="0" w:color="auto"/>
        <w:right w:val="none" w:sz="0" w:space="0" w:color="auto"/>
      </w:divBdr>
    </w:div>
    <w:div w:id="2130706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1704</Words>
  <Characters>9717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ЕфремовАВ</cp:lastModifiedBy>
  <cp:revision>3</cp:revision>
  <cp:lastPrinted>2018-11-19T15:14:00Z</cp:lastPrinted>
  <dcterms:created xsi:type="dcterms:W3CDTF">2018-11-19T15:14:00Z</dcterms:created>
  <dcterms:modified xsi:type="dcterms:W3CDTF">2018-12-17T08:19:00Z</dcterms:modified>
</cp:coreProperties>
</file>